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60E1C" w:rsidRPr="00B60E1C" w:rsidRDefault="00B60E1C" w:rsidP="00B60E1C">
      <w:pPr>
        <w:tabs>
          <w:tab w:val="center" w:pos="4677"/>
          <w:tab w:val="right" w:pos="9355"/>
        </w:tabs>
        <w:suppressAutoHyphens w:val="0"/>
        <w:ind w:left="5387"/>
        <w:rPr>
          <w:rFonts w:ascii="Times New Roman" w:eastAsia="Calibri" w:hAnsi="Times New Roman"/>
          <w:i/>
          <w:sz w:val="28"/>
          <w:szCs w:val="28"/>
          <w:lang w:eastAsia="en-US" w:bidi="ar-SA"/>
        </w:rPr>
      </w:pPr>
      <w:r w:rsidRPr="00B60E1C">
        <w:rPr>
          <w:rFonts w:ascii="Times New Roman" w:eastAsia="Calibri" w:hAnsi="Times New Roman"/>
          <w:i/>
          <w:sz w:val="28"/>
          <w:szCs w:val="28"/>
          <w:lang w:eastAsia="en-US" w:bidi="ar-SA"/>
        </w:rPr>
        <w:t xml:space="preserve">К вопросу </w:t>
      </w:r>
      <w:r>
        <w:rPr>
          <w:rFonts w:ascii="Times New Roman" w:eastAsia="Calibri" w:hAnsi="Times New Roman"/>
          <w:i/>
          <w:sz w:val="28"/>
          <w:szCs w:val="28"/>
          <w:lang w:eastAsia="en-US" w:bidi="ar-SA"/>
        </w:rPr>
        <w:t>8</w:t>
      </w:r>
      <w:r w:rsidRPr="00B60E1C">
        <w:rPr>
          <w:rFonts w:ascii="Times New Roman" w:eastAsia="Calibri" w:hAnsi="Times New Roman"/>
          <w:i/>
          <w:sz w:val="28"/>
          <w:szCs w:val="28"/>
          <w:lang w:eastAsia="en-US" w:bidi="ar-SA"/>
        </w:rPr>
        <w:t xml:space="preserve"> повестки дня</w:t>
      </w:r>
      <w:r w:rsidRPr="00B60E1C">
        <w:rPr>
          <w:rFonts w:ascii="Times New Roman" w:eastAsia="Calibri" w:hAnsi="Times New Roman"/>
          <w:i/>
          <w:sz w:val="28"/>
          <w:szCs w:val="28"/>
          <w:lang w:eastAsia="en-US" w:bidi="ar-SA"/>
        </w:rPr>
        <w:br/>
        <w:t>25-го заседания Совета по рекламе</w:t>
      </w:r>
    </w:p>
    <w:p w:rsidR="003F2488" w:rsidRDefault="003F2488" w:rsidP="00B60E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новом в правоприменительной практике в области соблюдения рекламного законодательства в государствах-участниках СНГ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Итоги осуществления государственного надзора за соблюдением законодательства Российской Федерации о рекламе за 2023 год</w:t>
      </w:r>
    </w:p>
    <w:p w:rsidR="003F2488" w:rsidRDefault="00B60E1C" w:rsidP="00B60E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950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2023 году антимонопольные органы рассмотрели 18036 заявлений (в 2022 году – 12033 заявлений) о несоответствии рекламы требованиям законодательства о рекламе. В результате проделанной работы возбуждено производство 3383 дел по фактам нарушений законодательства Российской Федерации о рекламе, в ходе рассмотрения которых пресечено 4353 нарушения (в 2022 году – 3156 дел и 4021 нарушений).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зависимости от характера нарушения и его негативных последствий для конкуренции, потребителей и общества в целом антимонопольные органы применяют к нарушителям меры административного наказания и административного воздействия.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Так, в 2023 году возбуждено 3470 дел об административных правонарушениях (в 2022 году – 4016 дел), по результатам рассмотрения которых вынесено 2597 постановлений о наложении штрафа на сумму 134 429 000 рублей (в 2022 году – 1831 постановление на сумму 133 427 000 рублей), в том числе 41 постановление за неисполнение предписания о прекращении нарушения законодательства о рекламе на сумму 6 011 000 рублей (в 2022 году – 42 постановления на сумму 4 663 000 рублей).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Правилами рассмотрения антимонопольным органом дел, возбужденных по признакам нарушения законодательства Российской Федерации о рекламе, вынесено 1553 предписания о прекращении нарушения законодательства о рекламе (в 2022 г. – 1624 предписания).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2023 году наибольшее количество выявленных антимонопольными органами нарушений по-прежнему фиксировалось при распространении рекламы по сетям электросвязи –  31,4 % от всех выявленных нарушений, хоть и незначительно снизилось (в 2022 году данные нарушения составили 31,9 % всех нарушений).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Сохраняется высоким количество выявленных нарушений, приходящихся на рекламу финансовых услуг – 16,56 % (в 2022 году данные нарушения составили 17,8% всех нарушений). Данный вид нарушений остается самым многочисленным видом нарушений среди всех ограничений, установленных для рекламы отдельных видов товаров.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Количество выявленной антимонопольными органами недостоверной рекламы по сравнению с предыдущим периодом снизилось и составило 9,1 % (в 2022 году – 9,99 % всех выявленных нарушений).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Распространение рекламы, вводящей в заблуждение, в 2023 году выросло, составив 9,1 % (в 2022 году – 8,9 % всех выявленных нарушений).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60"/>
        </w:tabs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Наблюдается незначительное снижение по сравнению с прежним периодом количества нарушений, связанных с размещением рекламы товаров, реклама которых не допускается: в 2023 году такие нарушения составили 5,9 % от выявленных нарушений (в 2022 году –  6,3%).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Отмечается стабильное количество нарушений в рекламе алкогольной продукции, 4 % сопоставимое с предыдущим годом (в 2022 году – 4,2% всех нарушений).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части недобросовестной рекламы сохраняется тенденция на снижение выявленных нарушений, так в 2023 году такие нарушения составили 1,63% от всех нарушений (в 2022 году – 1,84%).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60"/>
        </w:tabs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 вот в части ненадлежащей рекламы, распространяемой на транспортных средствах и с их использованием, наблюдается увеличение количества выявленных нарушений до 3,03 % в 2023 году с 1,76 % в 2022 году.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60"/>
        </w:tabs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Наблюдается рост, хоть и незначительный, ненадлежащей рекламы товаров при дистанционном способе их продажи - 1,59% от нарушений в 2023 году против 1,39 % в 2022 году.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неэтичной рекламы в 2023 году сохранилось на низком уровне, но повысилось по сравнению с предыдущим годом и составило 1,81 % от выявленных нарушений (в 2022 году – 1,27%).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Произошло сокращение нарушений в рекламе основанных на риске игр, пари по сравнению с предыдущем годом и составило 0,1 % от выявленных нарушений (в 2022 году – 1,76 %)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Вместе с тем увеличилось количество нарушений в рекламе ценных бумаг до 1,67%, тогда как в 2022 году такие нарушения отсутствовали.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bookmarkStart w:id="1" w:name="_gjdgxs"/>
    <w:bookmarkEnd w:id="1"/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>
        <w:object w:dxaOrig="8714" w:dyaOrig="4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77pt;height:234.75pt;mso-position-horizontal-relative:page;mso-position-vertical-relative:page" o:ole="" filled="t">
            <v:fill color2="black"/>
            <v:imagedata r:id="rId7" o:title="" croptop="-15f" cropbottom="-15f" cropleft="-7f" cropright="-7f"/>
          </v:shape>
          <o:OLEObject Type="Embed" ProgID="Excel.Sheet.8" ShapeID="Object 1" DrawAspect="Content" ObjectID="_1778435707" r:id="rId8"/>
        </w:objec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60"/>
        </w:tabs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Характеристика отдельных нарушений законодательства Российской Федерации о рекламе.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Распространения рекламы по сетям электросвязи без согласия абонента на получение такой рекламы в правоприменительной практике антимонопольного органа является самым частым нарушением.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качестве примера можно привести дело, рассмотренное Орловским УФАС России.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На основании заявления гражданина ПАО «Росбанк» было признано лицом, нарушившим требования части 1 статьи 18, части 1 статьи 28 Федерального закона от 13.03.2006 г. № 38-ФЗ «О рекламе» при распространении рекламы финансовых услуг посредством звонков рекламного характера.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Решением антимонопольного органа установлено, что распространявшаяся информация является рекламой, так как направлена на продвижение определенных финансовых продуктов Росбанка -вклада, накопительного счета, кредита, а вот надлежащее согласие гражданина -абонента на получение указанной рекламы финансовых услуг у ПАО «Росбанк» отсутствовало, что противоречит требованиям действующего законодательства.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Судами двух инстанций была поддержана позиция антимонопольного органа о том, что распространяемая посредством звонка на конкретный номер абонента-заявителя –клиента Банка информация о возможности получения ряда финансовых услуг ПАО «Росбанк», полученная без согласия абонента, является рекламой финансовых услуг и противоречит требованиям действующего законодательства.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рамках рассмотрения спора в антимонопольном органе и в судебных инстанциях ПАО «Росбанк» в обоснование своей позиции и заявленных требований указывало, что конкретные сообщения Банка, переданные посредством телефонной связи клиенту ПАО «Росбанк» не являются рекламой, так как носят персонифицированный характер и адресованы конкретному лицу и поэтому не представляют интереса для неопределенного круга лиц, т.е. не соответствуют признакам рекламы, установленным статей 3 Закона «О рекламе».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Вместе с тем, суды согласилась с позицией антимонопольного органа по данному вопросу, согласно которой признаком любой рекламы является ее способность стимулировать интерес к объекту для продвижения его на рынке, сформировать к нему положительное отношение и закрепить его образ в памяти потребителя.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рассматриваемом случае доведенная до заявителя информация формировала интерес к предлагаемым финансовым услугам (сберегательный счет, кредитная карта, вклады), была направлена на формирование у потребителей желания ими воспользоваться, побуждала потребителей обратиться в ПАО «Росбанк» за получением соответствующих финансовых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услуг, что способствовало продвижению таких услуг на рынке, а, следовательно, указанная информация отвечала всем признакам рекламы.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итогам рассмотрения дела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ПАО «Росбанк»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был привлечен к административной ответственности в виде штрафа в размере 100 000 рублей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Ещё одним из часто встречающихся нарушений в 2023 году было нарушение требований Федерального закона «О рекламе» в рекламе финансовых услуг.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Примерами такой рекламы могут служить следующие: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Реклама кредита по ставке 4% годовых банка АО «Почта Банк» размещалась на рекламной конструкции в форме роллерного дисплея (скроллера).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Реклама содержала изображение перевернутого вниз головой человека и текст: «Почта Банк 4 % годовых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Кредит наоборот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Банк деньги вернет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услугой «Гарантированная ставка»,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которые сопровождались поясняющей сноской: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«Кредит «суперсмарт промо»; сумма - 1 000 001 - 6 000 000 руб.; срок - 36 — 84 мес.; процентная ставка — 17,9% годовых; пересчет процентов по кредиту осуществляется при подключении клиентом услуги - «гарантированная ставка» (далее -услуга) и выполнении ее условий при уплате единоразовой комиссии за сопровождение услуги в размере 11% от суммы к выдаче, полном погашении задолженности по кредиту с условием внесения клиентом не менее 12 платежей с даты заключения договора и отсутствии просроченной задолженности в течение всего периода действия договора расходы клиента на уплату процентов по кредиту соответствуют расходам при ставке 4% годовых. Услуга предусматривает выплату разницы между суммой процентов, начисленных по установленной договором процентной ставке и уплаченных клиентом по договору, и суммой процентов, рассчитанных в каждом платежном периоде по процентной ставке в соответствии с условиями услуги. По желанию клиента по кредиту предоставляются платные дополнительные услуги. Подробная инф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ормация — на pochtabank.ru AО «Почта Банк». Лицензия ЦБ РФ № 650.»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Продолжительность демонстрации баннера составляла 8 секунд. При этом текст сноски на странице баннера был выполнен мелким шрифтом черными буквами на белом фоне на площади, составляющей 17 % от площади рекламы, а информация о процентной ставке и возврате денежных средств: «4 % годовых. Кредит наоборот.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Банк деньги вернет. С услугой «Гарантированная ставка» - крупным шрифтом на остальной площади рекламного баннера.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частью 3 статьи 28 Федерального закона «О рекламе», если реклама услуг, связанных с предоставлением кредита или займа, пользованием им и погашением кредита или займа содержит хотя бы одно условие, влияющее на его стоимость, такая реклама должна содержать все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остальные условия, определяющие полную стоимость кредита (займа), определяемую в соответствии с Федеральным законом «О потребительском кредите (займе)», для заемщика и влияющие на нее.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Согласно части 7 статьи 5 Федерального закона «О рекламе»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искажается смысл информации и вводятся в заблуждение потребители рекламы.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условиям, определяющим стоимость кредита для заёмщика, относятся сумма кредита, срок кредитного договора, процентная ставка, единовременные и периодически взимаемые платежи, а также иные условия, если их включение в кредитный договор может повлиять на сумму денежных средств, которую заёмщик должен выплатить кредитору по кредитному договору.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рекламе кредита АО «Почта Банк крупным шрифтом указывалась привлекательная для потребителя информация о процентной ставке по кредиту 4 %, то есть сообщалось одно из условий, влияющих на стоимость кредита.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Вместе с тем текст с иными условиями, определяющими полную стоимость кредита, такими как сумма кредита, срок кредита, размер единоразовой комиссии и пр., размещался на рекламном баннере в поясняющей сноске трудным для восприятия способом в течение короткого времени, что свидетельствует о недобросовестности рекламы.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Форма и время размещения текста поясняющей сноски не позволяли потребителям воспринять (прочитать) данный текст в полном объеме, в отличие от информации о размере процентной ставки по кредиту, которая в рекламе приводится крупным шрифтом. Соответственно, потребители не получали всю необходимую для осознанного выбора информацию обо всех условиях кредита, определяющих стоимость кредита.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случае, когда условия, являющиеся существенной информацией для потребителей, отсутствие которой способно обмануть их ожидания, сформированные рекламой финансовой услуги, формально присутствуют в рекламе, однако форма представления сведений такова, что данная информация не может быть воспринята потребителями, признается, что данные сведения не были доведены до неопределённого круга лиц надлежащим образом, в связи с чем потребитель фактически не получил предусмотренную законом информацию и был введен в заблуждение относительно предлагаемой финансовой услуги.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Соответственно в рекламе кредита по ставке 4 % годовых АО «Почта Банк» при указании одного из условий, влияющих на стоимость кредита, отсутствовали остальные такие условия.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Указанная реклама была признана ФАС России содержащей нарушения части 3 статьи 28, части 7 статьи 5 Федерального закона «О рекламе». Банку было выдано предписание о прекращении нарушения законодательства о рекламе. За указанное нарушение банк был привлечен к ответственности в виде штрафа в размере 350 000 рублей.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На основании заявления граждан антимонопольным органом были выявлены признаки нарушения законодательства в рекламе бесплатной кредитной карты АО «Альфа-Банк» с утверждением о моментальной доставке по всей России, распространявшейся в феврале - марте 2023 года в эфире федеральных телеканалов.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рекламном ролике сообщалось: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«Закажите бесплатную кредитную карту Альфа-Банка и снимайте до 50 000 рублей в месяц без комиссии в любых банкоматах. Моментально доставим кредитную карту в любую точку России. Альфа-Банк — лучший мобильный банк.»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Рекламное сообщение сопровождалось поясняющей сноской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: - «Credit - кредитная карта. Ставка - 11,99%-69,99% годовых, лимит кредитования - 5000-500 000 ₽ (индивидуально). Обслуживание в 1-й год - 0 ₽, со 2-го - 990 ₽.»; - «Credit - кредитная карта. Снятие до 50 000 ₽ в месяц без комиссии. Не оферта. Подробнее: alfabank.ru. Доставка в день заказа осуществляется в городах с населением &gt; 200 000 при заказе до 14:00.»; - «Лучший мобильный банк по версии Markswebb. АО «Альфа-Банк», ОГРН 1027700067328, 107078, г. Москва, ул. Каланчёвская, 27. Ген. лицензия ЦБ РФ № 1326 от 16.01.2015 г.»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Указанная сноска была представлена тремя частями, следующими друг за другом в кадрах видеоролика. Общая продолжительность демонстрации сноски в видеоролике составляла 20 секунд, а каждой её части - 6-8 секунд в кадре. При этом текст сносок был выполнен мелким шрифтом белыми буквами на разноцветном сменяющемся фоне. В рекламном ролике утверждалось, что «Альфа-Банк — лучший мобильный банк.»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пунктом 1 части 2 статьи 5 Федерального закона «О рекламе» недобросовестной признается реклама, которая содержит некорректные сравнения рекламируемого товара с находящимися в обороте товарами, которые произведены другими изготовителями или реализуются другими продавцами.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рассмотренной рекламе отсутствовал какой-либо конкретный критерий, по которому осуществляется сравнение мобильного банка АО «Альфа-Банк» с другими банками и который имеет объективное подтверждение того, что Альфа-Банк является лучшим мобильным банком. При этом ссылка на мнение агентства Markswebb о превосходстве АО «Альфа-Банк» над иными банками: «Лучший мобильный банк по версии Markswebb», приведенное в поясняющей сноске трудным для восприятия способом в течение короткого времени, не могла рассматриваться как критерий, по которому проводится сравнение и объективно подтверждающий преимущества мобильного банка АО «Альфа-Банк». Соответственно рекламное утверждение: «Альфа-Банк — лучший мобильный банк.» содержало некорректное сравнение АО «Альфа-Банк» с другими банками. В соответствии с частью 7 статьи 5 Федерального закона «О рекламе»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искажается смысл информации и вводятся в заблуждение потребители рекламы.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Кроме того, в рекламном ролике озвучивалась и крупным шрифтом была указана информация о бесплатном обслуживании кредитной карты АО «Альфа-Банк». Вместе с тем в поясняющей сноске рассматриваемой рекламы указывалось следующее: «Обслуживание в 1-й год - 0 ₽, со 2-го - 990 ₽.» При этом информация в поясняющей сноске размещалась в рекламном ролике трудным для восприятия способом в течение короткого времени, что свидетельствовало о недобросовестности рекламы. Форма и время размещения текста поясняющих сносок не позволяли потребителям воспринять (прочитать) указанный текст в полном объеме в отличие от информации о бесплатном обслуживании кредитной карты АО «Альфа-Банк», которая в рекламе указывалась крупным шрифтом. Соответственно, потребители не получали всю необходимую для осознанного выбора информацию обо всех условиях использования кредитной карты.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Соответственно, в рекламном ролике АО «Альфа-Банк» при указании на бесплатное обслуживание кредитной карты АО «Альфа-Банк» умалчивалась часть существенной информации о периоде бесплатного обслуживания кредитной карты.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Кроме того, в соответствии с пунктом 5 части 3 статьи 5 Федерального закона «О рекламе» недостоверной признается реклама, которая содержит не соответствующие действительности сведения об условиях доставки, обмена, ремонта и обслуживания товара.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рекламном ролике кредитной карты АО «Альфа-Банк» сообщалось о моментальной доставке рекламируемого продукта в любую точку России. Вместе с тем список городов доставки, размещенный на сайте https://alfabank.ru/ в разделе «Способы получения» бесплатной кредитной карты АО «Альфа-Банк», не содержал полный перечень городов Российской Федерации. При данных обстоятельствах доставка рекламируемого продукта осуществляется не во все города Российской Федерации, соответственно, в рекламе сообщались не соответствующие действительности сведения об условиях доставки рекламируемого банковского продукта. Таким образом, в рекламе бесплатной кредитной карты АО «Альфа-Банк» было выявлено ещё и нарушение пункта 1 части 2, пункта 5 части 3, части 7 статьи 5 Федерального закона «О рекламе».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итогам рассмотрения дела антимонопольным органом реклама АО «Альфа-Банк» была признана ненадлежащей и выданы предписания об устранении выявленных нарушений. За указанное нарушение банк был привлечен к ответственности в виде штрафа в размере 500 000 рублей.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 Также антимонопольным органом в рамках г</w:t>
      </w:r>
      <w:r>
        <w:rPr>
          <w:rFonts w:ascii="Times New Roman" w:eastAsia="Times New Roman" w:hAnsi="Times New Roman"/>
          <w:color w:val="333333"/>
          <w:sz w:val="28"/>
          <w:szCs w:val="28"/>
          <w:highlight w:val="white"/>
        </w:rPr>
        <w:t>осударственного контроля в области рекламы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было рассмотрено дело по факту выявления недостоверной рекламой сервиса для размещения объявлений «Авито», распространявшейся на территории г.Москвы.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рекламе сообщалось: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Авто с пробегом от РОЛЬФ только на Авито. Avito x Рольф.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«Только на Авито» атрибут, присваиваемый пользователем при размещении объявления о продаже авто на Авито, демонстрирующий информацию об отсутствии объявлений с аналогичным содержанием на других сервисах.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Достоверность указанной информации не гарантируется. Подробнее на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www.Avito.Ru/legal/auto/transport-listings 6+.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 рекламы следовало, что объявления автосалона «Рольф» о продаже автомобилей с пробегом размещаются только на Авито. Однако, вопреки рекламному утверждению, объявления о продаже автомобилей с пробегом в дилерских центрах «Рольф» размещались также на иных сайтах по продаже автомобилей - </w:t>
      </w:r>
      <w:hyperlink r:id="rId9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</w:rPr>
          <w:t>https://auto.ru/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 https://www.drom.ru/.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Таким образом, рекламное утверждение не соответствовало действительности о таком потребительском свойстве информационного продукта, как достоверность.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Таким образом, указанная реклама была признана нарушающей пункт 2 части 3 статьи 5 Федерального закона «О рекламе».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частью 6 статьи 38 Федерального закона «О рекламе» рекламодатель несет ответственность за нарушение требований, установленных пунктом 2 части 3 статьи 5 Федерального закона «О рекламе».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итогам рассмотрения дела рекламодателю было выдано предписание о прекращении нарушения законодательства о рекламе.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Введение в заблуждение также является довольно частым нарушением законодательства о рекламе. Так в 2023 году на основании жалоб граждан было выявлено нарушение в рекламном телеролике об акции торговой сети «Пенсионерам скидки».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мнению заявителей, реклама магазина торговой сети «Пятерочка», распространяемая в эфире «Первого канала» и «России-1», вводила их в заблуждение. 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Антимонопольная служба установила, что информация в видеоролике дает потребителям основания полагать, что акция распространяется на все товары в магазинах торговой сети. Однако скидка действовала только в отношении отдельных категорий товаров. Полная информация об условиях акции сообщалась на официальном сайте ритейлера и в дисклеймерах к рекламе.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этом текст дисклеймеров был выполнен мелким шрифтом и демонстрировался в рекламном видеоролике в течение короткого времени. 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Таким образом, существенная для потребителей информация обо всех условиях акции присутствовала в рекламе формально и не могла быть ими воспринята в полной мере из-за мелкого шрифта и краткого времени показа.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частью 7 статьи 5 Федерального закона от 13 марта 2006 г. №38-ФЗ «О рекламе» запрещается распространение рекламы, в которой из-за отсутствия части существенной информации о рекламируемом товаре, условиях его приобретения или использования искажается смысл доносимых сведений, а потребители вводятся в заблуждение.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 итогам рассмотрения дела реклама была признана ненадлежащей, а рекламодателю ООО «Агроторг» выдано предписание о прекращении нарушения законодательства о рекламе. Компании назначен штраф в 300 тысяч рублей.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Ещё одним из выявленных нарушений в 2023 году была реклама табачных изделий, запрещенная Федеральным законом «О рекламе».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территории г. Москвы в магазине торговой сети «Мираторг» распространялась реклама системы нагревания табака «glohyper+» для потребления никотинсодержащей продукции (далее – устройство glohyper+).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Реклама устройства glohyper+ размещалась на конструкции в кассовой зоне оплаты покупок над рабочими местами кассиров.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конструкции под заголовком «glo hyper+» демонстрировалось изображения устройства glohyper+ в упаковках, а также присутствовала   информация о стоимости: «1199 р.» и потребительских свойствах устройства: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Меньший риск для здоровья по сравнению с курением сигарет».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Рекламный текст сопровождается поясняющей сноской и примечанием, выполненным мелким шрифтом: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сноска: «Меньше риска - на основании имеющихся доказательств при полном переключении с курения сигарет на glotm. Этот продукт не исключает риски, содержит никотин и вызывает привыкание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примечание: «Информация предоставлена только для совершеннолетних потребителей никотинсодержащей продукции. hyper – хайпер».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правом нижнем углу рекламного объявления размещался знак в форме прямоугольника с символом «18+» и текстовым предупреждением: «продажа несовершеннолетним запрещена».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Информация об устройстве glohyper+, сообщаемая на конструкции в торговом зале магазина, соответствовала всем признакам рекламы, установленным пунктом 1 статьи 3 Федерального закона «О рекламе», и являлась рекламой устройства glohyper+ для потребления никотинсодержащей продукции.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пунктом 8 статьи 7 Федерального закона «О рекламе» не допускается реклама табака, табачной продукции, табачных изделий, никотинсодержащей продукции, курительных принадлежностей, в том числе трубок, сигаретной бумаги, зажигалок, а также устройств для потребления никотинсодержащей продукции, кальянов.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учетом всех обстоятельств в рекламе устройства glohyper+ для потребления никотинсодержащей продукции, распространявшейся в магазине торговой сети, были выявлены нарушения пункта 8 статьи 7 Федерального закона «О рекламе».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частями 6, 7 статьи 38 Федерального закона «О рекламе» рекламодатель и рекламораспространитель несут ответственность за нарушение требований, установленных статьей 7 Федерального закона «О рекламе».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 итогам рассмотрения дела рекламодателю и рекламораспространителю выдано предписание о прекращении нарушения законодательства о рекламе.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 В 2023 году антимонопольный орган также продолжил реализацию комплексного подхода к защите граждан от излишнего звукового воздействия рекламы. В соответствии с частью 12 статьи 14 Федерального закона «О рекламе» в телепрограммах запрещена реклама, звук которой превышает средний уровень громкости телепередач.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было установлено антимонопольным органом в эфире телеканала "ТНТ" уровень громкости объявления о последующей трансляции рекламы превышал средний уровень громкости звука прерываемой им телепередачи. В связи с этим комиссия антимонопольного органа признала компанию "ТНТ-телесеть" виновной в нарушении рекламного законодательства.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итогам рассмотрения дела о нарушении законодательства о рекламе ФАС России предписала телеканалу исправить нарушение.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Кроме того, за допущенное нарушение виновное лицо было привлечено к административной ответственности в виде штрафа в размере 100 тысяч рублей.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Изменение законодательства о рекламе в 2023 году.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23.10.2023 вступили в силу изменения в статью 28 Федерального закона «О рекламе», внесенные Федеральным законом от 24.07.2023 № 359-ФЗ «О внесении изменений в Федеральный закон «О потребительском кредите (займе)» и отдельные законодательные акты Российской Федерации».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Согласно новой редакции части 3 статьи 28 Федерального закона «О рекламе» если реклама услуг, связанных с предоставлением кредита или займа, пользованием ими и погашением кредита или займа, содержит информацию о процентных ставках, такая реклама должна содержать информацию, указанную в пункте 10 части 4 статьи 5 Федерального закона «О потребительском кредите (займе)». Указанная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 10 части 4 статьи 5 Федерального закона «О потребительском кредите (займе)» предусматривает обязанность кредитора размещать в составе информации об условиях предоставления, использования и возврата потребительского кредита (займа) диапазоны значений полной стоимости потребительского кредита (займа), определенных с учетом требований данного Закона по видам потребительского кредита (займа).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Таким образом, с 23.10.2023 в рекламе услуг, связанных с предоставлением кредита или займа, пользованием ими и погашением кредита или займа, содержащей информацию о процентных ставках, должны также содержаться сведения о диапазонах значений полной стоимости потребительского кредита (займа) (далее также — ПСК).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Следует учитывать, что указанная информация о диапазонах значений ПСК должна предоставляться до предоставления информации о процентных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ставках и указываться шрифтом, размер которого не менее чем шрифт, которым указана процентная ставка.</w:t>
      </w:r>
    </w:p>
    <w:p w:rsidR="003F2488" w:rsidRDefault="003F248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Соответственно, информация о диапазонах значений ПСК должна быть приведена в указанной рекламе выше и (или) левее, чем информация о процентной ставке.</w:t>
      </w:r>
    </w:p>
    <w:p w:rsidR="003F2488" w:rsidRDefault="003F248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распространении рекламы указанных услуг в телепрограммах и радиопрограммах необходимо отметить, что в телепрограммах в ряде случаев, а в радиопрограммах — всегда не предполагается письменного изложения информации в виде текста.</w:t>
      </w:r>
    </w:p>
    <w:p w:rsidR="003F2488" w:rsidRDefault="003F248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 норма требует приведение информации о диапазонах значений ПСК до приведения информации о процентной ставки, соответственно, данное правило должно быть соблюдено и при озвучивании информации о процентной ставке в рекламе кредита или займа.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Вышеуказанные нововведения были вызваны необходимостью обеспечить максимальную прозрачность для потребителей рекламы в сфере финансовых услуг, чтобы не вводить в заблуждение потребителей, что напрямую влияет на их финансовое благополучие.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Проведение системной разъяснительной работы в 2023 году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Ещё одним важным направление работы ФАС России является разъяснение законодательства.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Так, в связи с изменением подходов к оформлению разъяснений правоприменительной практики в Российской Федерации были отменены разъяснений ФАС России в сфере рекламы, формировавшиеся многие годы.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Однако, представители рекламной индустрии признали необходимость подготовки подобных разъяснений в новом формате - в виде руководств по соблюдению обязательных требований.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Совместно с участием предпринимательского сообщества были разработаны для последующего доведения до участников рынка посредством размещения на сайте ФАС России руководства по соблюдению обязательных требований в сфере рекламы. 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В разработанных документах дана официальная позиция ФАС России по вопросам понятия рекламы, разъяснены общие требования, предъявляемые к рекламе, требования к рекламе отдельных видов товаров (алкогольная продукция, лекарственные средства, БАДы), в настоящее время готовятся дополнительные руководства.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Ещё одним направлением системной работы по разъяснению законодательства о рекламе в 2023 году стала подготовка наглядных пособий необходимых участникам рынка для правильного применения положений закона о рекламе, предусматривающих маркировку рекламы в сети Интернет. 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Публикация руководств по соблюдению обязательных требований в сфере рекламы, способствует правильному толкованию и применению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законодательства Российской Федерации о рекламе участниками рекламного рынка, что приводит к существенному снижению нарушений законодательства о рекламе, а также сокращению поступающих обращений с целью получения разъяснений по конкретным ситуациям.</w:t>
      </w:r>
    </w:p>
    <w:p w:rsidR="003F2488" w:rsidRDefault="003F2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Размещение наглядных «карточек», описывающих различные ситуации по применению законодательства о рекламе при распространении рекламы в сети «Интернет» на официальных страница антимонопольного органа в социальных сетях, а также на официальном сайте ФАС России по адресу: https://fas.gov.ru/pages/primery-reklamy-v-internete-podlezhaschey-markirovke., позволило оперативно информировать рекламораспространителей о новых требованиях законодательства.</w:t>
      </w:r>
    </w:p>
    <w:sectPr w:rsidR="003F2488" w:rsidSect="003A6C4F">
      <w:footerReference w:type="default" r:id="rId11"/>
      <w:headerReference w:type="first" r:id="rId12"/>
      <w:footnotePr>
        <w:pos w:val="beneathText"/>
      </w:footnotePr>
      <w:pgSz w:w="11906" w:h="16838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1C" w:rsidRDefault="00D71C1C">
      <w:r>
        <w:separator/>
      </w:r>
    </w:p>
  </w:endnote>
  <w:endnote w:type="continuationSeparator" w:id="0">
    <w:p w:rsidR="00D71C1C" w:rsidRDefault="00D7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4F" w:rsidRDefault="003A6C4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0752C">
      <w:rPr>
        <w:noProof/>
      </w:rPr>
      <w:t>2</w:t>
    </w:r>
    <w:r>
      <w:fldChar w:fldCharType="end"/>
    </w:r>
  </w:p>
  <w:p w:rsidR="003A6C4F" w:rsidRDefault="003A6C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1C" w:rsidRDefault="00D71C1C">
      <w:r>
        <w:separator/>
      </w:r>
    </w:p>
  </w:footnote>
  <w:footnote w:type="continuationSeparator" w:id="0">
    <w:p w:rsidR="00D71C1C" w:rsidRDefault="00D7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4F" w:rsidRDefault="003A6C4F">
    <w:pPr>
      <w:pStyle w:val="a5"/>
      <w:jc w:val="center"/>
    </w:pPr>
  </w:p>
  <w:p w:rsidR="003F2488" w:rsidRDefault="003F2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52C"/>
    <w:rsid w:val="002B7F22"/>
    <w:rsid w:val="003A6C4F"/>
    <w:rsid w:val="003F2488"/>
    <w:rsid w:val="00B60E1C"/>
    <w:rsid w:val="00D71C1C"/>
    <w:rsid w:val="1BF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8C34349-FD47-4E8D-A33C-CD001158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7" w:qFormat="1"/>
    <w:lsdException w:name="List" w:uiPriority="7"/>
    <w:lsdException w:name="Title" w:qFormat="1"/>
    <w:lsdException w:name="Default Paragraph Font" w:uiPriority="1" w:unhideWhenUsed="1"/>
    <w:lsdException w:name="Body Text" w:uiPriority="6"/>
    <w:lsdException w:name="Subtitle" w:uiPriority="6" w:qFormat="1"/>
    <w:lsdException w:name="Hyperlink" w:uiPriority="7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suppressAutoHyphens/>
    </w:pPr>
    <w:rPr>
      <w:rFonts w:ascii="Cambria" w:eastAsia="SimSun" w:hAnsi="Cambria"/>
      <w:lang w:eastAsia="zh-CN" w:bidi="hi-IN"/>
    </w:rPr>
  </w:style>
  <w:style w:type="paragraph" w:styleId="1">
    <w:name w:val="heading 1"/>
    <w:basedOn w:val="a"/>
    <w:next w:val="a"/>
    <w:uiPriority w:val="6"/>
    <w:qFormat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6"/>
    <w:qFormat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6"/>
    <w:qFormat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6"/>
    <w:qFormat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6"/>
    <w:qFormat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6"/>
    <w:qFormat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  <w:rPr>
      <w:rFonts w:hint="default"/>
      <w:sz w:val="24"/>
      <w:szCs w:val="24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7"/>
    <w:rPr>
      <w:color w:val="000080"/>
      <w:u w:val="single"/>
    </w:rPr>
  </w:style>
  <w:style w:type="paragraph" w:styleId="a4">
    <w:name w:val="caption"/>
    <w:basedOn w:val="a"/>
    <w:uiPriority w:val="7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"/>
    <w:basedOn w:val="a"/>
    <w:uiPriority w:val="6"/>
    <w:pPr>
      <w:spacing w:after="140" w:line="276" w:lineRule="auto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List"/>
    <w:basedOn w:val="a7"/>
    <w:uiPriority w:val="7"/>
    <w:rPr>
      <w:rFonts w:cs="Arial"/>
    </w:rPr>
  </w:style>
  <w:style w:type="paragraph" w:styleId="ab">
    <w:name w:val="Subtitle"/>
    <w:basedOn w:val="a"/>
    <w:next w:val="a"/>
    <w:uiPriority w:val="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Основной шрифт абзаца1"/>
    <w:uiPriority w:val="67"/>
  </w:style>
  <w:style w:type="paragraph" w:customStyle="1" w:styleId="ac">
    <w:name w:val="Заголовок"/>
    <w:basedOn w:val="a"/>
    <w:next w:val="a"/>
    <w:uiPriority w:val="6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ad">
    <w:name w:val="Колонтитул"/>
    <w:basedOn w:val="a"/>
    <w:uiPriority w:val="67"/>
    <w:pPr>
      <w:suppressLineNumbers/>
      <w:tabs>
        <w:tab w:val="center" w:pos="4819"/>
        <w:tab w:val="right" w:pos="9638"/>
      </w:tabs>
    </w:pPr>
  </w:style>
  <w:style w:type="paragraph" w:customStyle="1" w:styleId="ae">
    <w:name w:val="Содержимое врезки"/>
    <w:basedOn w:val="a"/>
    <w:uiPriority w:val="67"/>
  </w:style>
  <w:style w:type="character" w:customStyle="1" w:styleId="a6">
    <w:name w:val="Верхний колонтитул Знак"/>
    <w:link w:val="a5"/>
    <w:uiPriority w:val="99"/>
    <w:rsid w:val="003A6C4F"/>
    <w:rPr>
      <w:rFonts w:ascii="Cambria" w:eastAsia="SimSun" w:hAnsi="Cambria"/>
      <w:lang w:eastAsia="zh-CN" w:bidi="hi-IN"/>
    </w:rPr>
  </w:style>
  <w:style w:type="character" w:customStyle="1" w:styleId="a9">
    <w:name w:val="Нижний колонтитул Знак"/>
    <w:link w:val="a8"/>
    <w:uiPriority w:val="99"/>
    <w:rsid w:val="003A6C4F"/>
    <w:rPr>
      <w:rFonts w:ascii="Cambria" w:eastAsia="SimSun" w:hAnsi="Cambri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9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Links>
    <vt:vector size="12" baseType="variant"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https://login.consultant.ru/link/?req=doc&amp;base=LAW&amp;n=389686</vt:lpwstr>
      </vt:variant>
      <vt:variant>
        <vt:lpwstr/>
      </vt:variant>
      <vt:variant>
        <vt:i4>5636110</vt:i4>
      </vt:variant>
      <vt:variant>
        <vt:i4>3</vt:i4>
      </vt:variant>
      <vt:variant>
        <vt:i4>0</vt:i4>
      </vt:variant>
      <vt:variant>
        <vt:i4>5</vt:i4>
      </vt:variant>
      <vt:variant>
        <vt:lpwstr>https://auto.ru/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Елена Владимировна Привезенцева</cp:lastModifiedBy>
  <cp:revision>2</cp:revision>
  <dcterms:created xsi:type="dcterms:W3CDTF">2024-05-28T18:08:00Z</dcterms:created>
  <dcterms:modified xsi:type="dcterms:W3CDTF">2024-05-28T18:08:00Z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E4E49D681F6D43A58F81460A2682ED5C_13</vt:lpwstr>
  </property>
  <property fmtid="{D5CDD505-2E9C-101B-9397-08002B2CF9AE}" pid="3" name="KSOProductBuildVer">
    <vt:lpwstr>1049-12.2.0.16909</vt:lpwstr>
  </property>
</Properties>
</file>